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70B2" w14:textId="003A318C" w:rsidR="006307B2" w:rsidRPr="006307B2" w:rsidRDefault="006307B2" w:rsidP="006307B2">
      <w:pPr>
        <w:rPr>
          <w:b/>
          <w:bCs/>
          <w:color w:val="001F47"/>
          <w:sz w:val="28"/>
          <w:szCs w:val="28"/>
          <w:lang w:eastAsia="en-GB"/>
        </w:rPr>
      </w:pPr>
      <w:r w:rsidRPr="006307B2">
        <w:rPr>
          <w:b/>
          <w:bCs/>
          <w:color w:val="001F47"/>
          <w:sz w:val="28"/>
          <w:szCs w:val="28"/>
          <w:lang w:eastAsia="en-GB"/>
        </w:rPr>
        <w:t>What’s changing – key forthcoming measures and proposals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227"/>
        <w:gridCol w:w="1221"/>
        <w:gridCol w:w="4596"/>
      </w:tblGrid>
      <w:tr w:rsidR="006307B2" w:rsidRPr="0098001A" w14:paraId="0179364D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0F2C2546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2B9EA24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7FC4724E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Questions</w:t>
            </w:r>
          </w:p>
        </w:tc>
        <w:tc>
          <w:tcPr>
            <w:tcW w:w="0" w:type="auto"/>
            <w:vAlign w:val="center"/>
            <w:hideMark/>
          </w:tcPr>
          <w:p w14:paraId="2E62057C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Summary from consultation</w:t>
            </w:r>
          </w:p>
        </w:tc>
      </w:tr>
      <w:tr w:rsidR="006307B2" w:rsidRPr="0098001A" w14:paraId="40E94849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2224C9B1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85A5B19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New annual report</w:t>
            </w:r>
          </w:p>
        </w:tc>
        <w:tc>
          <w:tcPr>
            <w:tcW w:w="0" w:type="auto"/>
            <w:vAlign w:val="center"/>
            <w:hideMark/>
          </w:tcPr>
          <w:p w14:paraId="3D65C495" w14:textId="77777777" w:rsidR="006307B2" w:rsidRPr="0098001A" w:rsidRDefault="006307B2" w:rsidP="006B1767">
            <w:r w:rsidRPr="0098001A">
              <w:t>Q17-23</w:t>
            </w:r>
          </w:p>
        </w:tc>
        <w:tc>
          <w:tcPr>
            <w:tcW w:w="0" w:type="auto"/>
            <w:vAlign w:val="center"/>
            <w:hideMark/>
          </w:tcPr>
          <w:p w14:paraId="043358FB" w14:textId="77777777" w:rsidR="006307B2" w:rsidRPr="0098001A" w:rsidRDefault="006307B2" w:rsidP="006B1767">
            <w:r w:rsidRPr="0098001A">
              <w:t>Landlords/managing agents must provide an annual report covering building condition, planned works, budgets, compliance with safety regulations, and key contact information.</w:t>
            </w:r>
          </w:p>
        </w:tc>
      </w:tr>
      <w:tr w:rsidR="006307B2" w:rsidRPr="0098001A" w14:paraId="288F06EE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5086EDB6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35A4D1C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New standardised service charge demand form</w:t>
            </w:r>
          </w:p>
        </w:tc>
        <w:tc>
          <w:tcPr>
            <w:tcW w:w="0" w:type="auto"/>
            <w:vAlign w:val="center"/>
            <w:hideMark/>
          </w:tcPr>
          <w:p w14:paraId="1A4D1DE4" w14:textId="77777777" w:rsidR="006307B2" w:rsidRPr="0098001A" w:rsidRDefault="006307B2" w:rsidP="006B1767">
            <w:r w:rsidRPr="0098001A">
              <w:t>Q24-35</w:t>
            </w:r>
          </w:p>
        </w:tc>
        <w:tc>
          <w:tcPr>
            <w:tcW w:w="0" w:type="auto"/>
            <w:vAlign w:val="center"/>
            <w:hideMark/>
          </w:tcPr>
          <w:p w14:paraId="1B806AD4" w14:textId="77777777" w:rsidR="006307B2" w:rsidRPr="0098001A" w:rsidRDefault="006307B2" w:rsidP="006B1767">
            <w:r w:rsidRPr="0098001A">
              <w:t>Introduction of a standardised service charge demand form requiring landlords to provide a minimum set of detailed information about charges</w:t>
            </w:r>
            <w:r>
              <w:t xml:space="preserve">. </w:t>
            </w:r>
          </w:p>
        </w:tc>
      </w:tr>
      <w:tr w:rsidR="006307B2" w:rsidRPr="0098001A" w14:paraId="1BA1C620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1209AFFB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14:paraId="18B0E9A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Clarity over future service charge demands</w:t>
            </w:r>
          </w:p>
        </w:tc>
        <w:tc>
          <w:tcPr>
            <w:tcW w:w="0" w:type="auto"/>
            <w:vAlign w:val="center"/>
            <w:hideMark/>
          </w:tcPr>
          <w:p w14:paraId="560091B8" w14:textId="77777777" w:rsidR="006307B2" w:rsidRPr="0098001A" w:rsidRDefault="006307B2" w:rsidP="006B1767">
            <w:r w:rsidRPr="0098001A">
              <w:t>Q36-38</w:t>
            </w:r>
          </w:p>
        </w:tc>
        <w:tc>
          <w:tcPr>
            <w:tcW w:w="0" w:type="auto"/>
            <w:vAlign w:val="center"/>
            <w:hideMark/>
          </w:tcPr>
          <w:p w14:paraId="6EE328D1" w14:textId="77777777" w:rsidR="006307B2" w:rsidRPr="0098001A" w:rsidRDefault="006307B2" w:rsidP="006B1767">
            <w:r>
              <w:t>Measures</w:t>
            </w:r>
            <w:r w:rsidRPr="0098001A">
              <w:t xml:space="preserve"> to ensure leaseholders receive clearer, more consistent information about future service charge demands, including explanations of likely changes and expected costs.</w:t>
            </w:r>
          </w:p>
        </w:tc>
      </w:tr>
      <w:tr w:rsidR="006307B2" w:rsidRPr="0098001A" w14:paraId="6F295988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283A7831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14:paraId="6621BCFA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Extended rights to obtain information on request</w:t>
            </w:r>
          </w:p>
        </w:tc>
        <w:tc>
          <w:tcPr>
            <w:tcW w:w="0" w:type="auto"/>
            <w:vAlign w:val="center"/>
            <w:hideMark/>
          </w:tcPr>
          <w:p w14:paraId="375BA01B" w14:textId="77777777" w:rsidR="006307B2" w:rsidRPr="0098001A" w:rsidRDefault="006307B2" w:rsidP="006B1767">
            <w:r w:rsidRPr="0098001A">
              <w:t>Q40-46</w:t>
            </w:r>
          </w:p>
        </w:tc>
        <w:tc>
          <w:tcPr>
            <w:tcW w:w="0" w:type="auto"/>
            <w:vAlign w:val="center"/>
            <w:hideMark/>
          </w:tcPr>
          <w:p w14:paraId="511A0B1E" w14:textId="77777777" w:rsidR="006307B2" w:rsidRPr="0098001A" w:rsidRDefault="006307B2" w:rsidP="006B1767">
            <w:r w:rsidRPr="0098001A">
              <w:t>Expanding leaseholders’ rights to request information from landlords, including requiring landlords to respond within set timeframes and provide more detailed documentation on charges and services.</w:t>
            </w:r>
          </w:p>
        </w:tc>
      </w:tr>
      <w:tr w:rsidR="006307B2" w:rsidRPr="0098001A" w14:paraId="12B5E124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205CBC3B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14:paraId="20ADE6CC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Scope of the new proposals for renters</w:t>
            </w:r>
          </w:p>
        </w:tc>
        <w:tc>
          <w:tcPr>
            <w:tcW w:w="0" w:type="auto"/>
            <w:vAlign w:val="center"/>
            <w:hideMark/>
          </w:tcPr>
          <w:p w14:paraId="4A7BDEE6" w14:textId="77777777" w:rsidR="006307B2" w:rsidRPr="0098001A" w:rsidRDefault="006307B2" w:rsidP="006B1767">
            <w:r w:rsidRPr="0098001A">
              <w:t>Q47-50</w:t>
            </w:r>
          </w:p>
        </w:tc>
        <w:tc>
          <w:tcPr>
            <w:tcW w:w="0" w:type="auto"/>
            <w:vAlign w:val="center"/>
            <w:hideMark/>
          </w:tcPr>
          <w:p w14:paraId="0D22FFA4" w14:textId="77777777" w:rsidR="006307B2" w:rsidRPr="0098001A" w:rsidRDefault="006307B2" w:rsidP="006B1767">
            <w:r w:rsidRPr="0098001A">
              <w:t xml:space="preserve">Considering extending some protections to tenants (renters) living in </w:t>
            </w:r>
            <w:r>
              <w:t>social housing who pay a service charge</w:t>
            </w:r>
            <w:r w:rsidRPr="0098001A">
              <w:t>, particularly around transparency and charges.</w:t>
            </w:r>
          </w:p>
        </w:tc>
      </w:tr>
      <w:tr w:rsidR="006307B2" w:rsidRPr="0098001A" w14:paraId="43A5B1F8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668ADC25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14:paraId="782C6EE0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New duty to publish an administration charge schedule</w:t>
            </w:r>
          </w:p>
        </w:tc>
        <w:tc>
          <w:tcPr>
            <w:tcW w:w="0" w:type="auto"/>
            <w:vAlign w:val="center"/>
            <w:hideMark/>
          </w:tcPr>
          <w:p w14:paraId="5BA675BE" w14:textId="77777777" w:rsidR="006307B2" w:rsidRPr="0098001A" w:rsidRDefault="006307B2" w:rsidP="006B1767">
            <w:r w:rsidRPr="0098001A">
              <w:t>Q51-53</w:t>
            </w:r>
          </w:p>
        </w:tc>
        <w:tc>
          <w:tcPr>
            <w:tcW w:w="0" w:type="auto"/>
            <w:vAlign w:val="center"/>
            <w:hideMark/>
          </w:tcPr>
          <w:p w14:paraId="1BFFE94B" w14:textId="77777777" w:rsidR="006307B2" w:rsidRPr="0098001A" w:rsidRDefault="006307B2" w:rsidP="006B1767">
            <w:r>
              <w:t>Requirement for l</w:t>
            </w:r>
            <w:r w:rsidRPr="0098001A">
              <w:t>andlords to publish a schedule of administration charges to ensure leaseholders understand what fees may be applied and why.</w:t>
            </w:r>
          </w:p>
        </w:tc>
      </w:tr>
      <w:tr w:rsidR="006307B2" w:rsidRPr="0098001A" w14:paraId="72F1F500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46A95B1F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14:paraId="6A19A0E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Better information about insurance</w:t>
            </w:r>
          </w:p>
        </w:tc>
        <w:tc>
          <w:tcPr>
            <w:tcW w:w="0" w:type="auto"/>
            <w:vAlign w:val="center"/>
            <w:hideMark/>
          </w:tcPr>
          <w:p w14:paraId="743ECCA7" w14:textId="77777777" w:rsidR="006307B2" w:rsidRPr="0098001A" w:rsidRDefault="006307B2" w:rsidP="006B1767">
            <w:r w:rsidRPr="0098001A">
              <w:t>Q54-69</w:t>
            </w:r>
          </w:p>
        </w:tc>
        <w:tc>
          <w:tcPr>
            <w:tcW w:w="0" w:type="auto"/>
            <w:vAlign w:val="center"/>
            <w:hideMark/>
          </w:tcPr>
          <w:p w14:paraId="283E23D9" w14:textId="77777777" w:rsidR="006307B2" w:rsidRPr="0098001A" w:rsidRDefault="006307B2" w:rsidP="006B1767">
            <w:r w:rsidRPr="0098001A">
              <w:t>Requir</w:t>
            </w:r>
            <w:r>
              <w:t>ement for</w:t>
            </w:r>
            <w:r w:rsidRPr="0098001A">
              <w:t xml:space="preserve"> landlords to provide detailed information on insurance costs, policies, and claims related to the building</w:t>
            </w:r>
            <w:r>
              <w:t>.</w:t>
            </w:r>
          </w:p>
        </w:tc>
      </w:tr>
      <w:tr w:rsidR="006307B2" w:rsidRPr="0098001A" w14:paraId="2EBB0270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4750F18B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14:paraId="074F34BF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New standardised service charge accounts</w:t>
            </w:r>
          </w:p>
        </w:tc>
        <w:tc>
          <w:tcPr>
            <w:tcW w:w="0" w:type="auto"/>
            <w:vAlign w:val="center"/>
            <w:hideMark/>
          </w:tcPr>
          <w:p w14:paraId="04A72F4C" w14:textId="77777777" w:rsidR="006307B2" w:rsidRPr="0098001A" w:rsidRDefault="006307B2" w:rsidP="006B1767">
            <w:r w:rsidRPr="0098001A">
              <w:t>Q70-88</w:t>
            </w:r>
          </w:p>
        </w:tc>
        <w:tc>
          <w:tcPr>
            <w:tcW w:w="0" w:type="auto"/>
            <w:vAlign w:val="center"/>
            <w:hideMark/>
          </w:tcPr>
          <w:p w14:paraId="1CCE3B05" w14:textId="77777777" w:rsidR="006307B2" w:rsidRPr="0098001A" w:rsidRDefault="006307B2" w:rsidP="006B1767">
            <w:r w:rsidRPr="0098001A">
              <w:t>Introduction of a standard format for service charge accounts to be provided to leaseholders, ensuring consistent, clear, and accessible financial reporting.</w:t>
            </w:r>
          </w:p>
        </w:tc>
      </w:tr>
      <w:tr w:rsidR="006307B2" w:rsidRPr="0098001A" w14:paraId="0BE6A74E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57595170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14:paraId="18960BDC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Rebalancing the litigation costs regime</w:t>
            </w:r>
          </w:p>
        </w:tc>
        <w:tc>
          <w:tcPr>
            <w:tcW w:w="0" w:type="auto"/>
            <w:vAlign w:val="center"/>
            <w:hideMark/>
          </w:tcPr>
          <w:p w14:paraId="4F51A60D" w14:textId="77777777" w:rsidR="006307B2" w:rsidRPr="0098001A" w:rsidRDefault="006307B2" w:rsidP="006B1767">
            <w:r w:rsidRPr="0098001A">
              <w:t>Q89-115</w:t>
            </w:r>
          </w:p>
        </w:tc>
        <w:tc>
          <w:tcPr>
            <w:tcW w:w="0" w:type="auto"/>
            <w:vAlign w:val="center"/>
            <w:hideMark/>
          </w:tcPr>
          <w:p w14:paraId="0A5C243B" w14:textId="77777777" w:rsidR="006307B2" w:rsidRPr="0098001A" w:rsidRDefault="006307B2" w:rsidP="006B1767">
            <w:r>
              <w:t>Measures</w:t>
            </w:r>
            <w:r w:rsidRPr="0098001A">
              <w:t xml:space="preserve"> to address how legal costs are recovered in disputes, aiming to make the process fairer and reduce unnecessary costs borne by leaseholders.</w:t>
            </w:r>
          </w:p>
        </w:tc>
      </w:tr>
      <w:tr w:rsidR="006307B2" w:rsidRPr="0098001A" w14:paraId="16AB743C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2AAD13D5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14:paraId="4CDEAA92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Mandating reserve funds and planning for major works</w:t>
            </w:r>
          </w:p>
        </w:tc>
        <w:tc>
          <w:tcPr>
            <w:tcW w:w="0" w:type="auto"/>
            <w:vAlign w:val="center"/>
            <w:hideMark/>
          </w:tcPr>
          <w:p w14:paraId="154274DD" w14:textId="77777777" w:rsidR="006307B2" w:rsidRPr="0098001A" w:rsidRDefault="006307B2" w:rsidP="006B1767">
            <w:r w:rsidRPr="0098001A">
              <w:t>Q116-127</w:t>
            </w:r>
          </w:p>
        </w:tc>
        <w:tc>
          <w:tcPr>
            <w:tcW w:w="0" w:type="auto"/>
            <w:vAlign w:val="center"/>
            <w:hideMark/>
          </w:tcPr>
          <w:p w14:paraId="318A0340" w14:textId="77777777" w:rsidR="006307B2" w:rsidRPr="0098001A" w:rsidRDefault="006307B2" w:rsidP="006B1767">
            <w:r>
              <w:t>Proposal</w:t>
            </w:r>
            <w:r w:rsidRPr="0098001A">
              <w:t xml:space="preserve"> for </w:t>
            </w:r>
            <w:r>
              <w:t>making use of a reserve fund mandatory</w:t>
            </w:r>
            <w:r w:rsidRPr="0098001A">
              <w:t xml:space="preserve"> and to have long-term financial planning to cover building maintenance and repairs.</w:t>
            </w:r>
          </w:p>
        </w:tc>
      </w:tr>
      <w:tr w:rsidR="006307B2" w:rsidRPr="0098001A" w14:paraId="36E09417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4A96EE4C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1B40C4E9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Reforming major works consultations</w:t>
            </w:r>
          </w:p>
        </w:tc>
        <w:tc>
          <w:tcPr>
            <w:tcW w:w="0" w:type="auto"/>
            <w:vAlign w:val="center"/>
            <w:hideMark/>
          </w:tcPr>
          <w:p w14:paraId="1ECED652" w14:textId="77777777" w:rsidR="006307B2" w:rsidRPr="0098001A" w:rsidRDefault="006307B2" w:rsidP="006B1767">
            <w:r w:rsidRPr="0098001A">
              <w:t>Q128-140</w:t>
            </w:r>
          </w:p>
        </w:tc>
        <w:tc>
          <w:tcPr>
            <w:tcW w:w="0" w:type="auto"/>
            <w:vAlign w:val="center"/>
            <w:hideMark/>
          </w:tcPr>
          <w:p w14:paraId="0000B9B2" w14:textId="77777777" w:rsidR="006307B2" w:rsidRPr="0098001A" w:rsidRDefault="006307B2" w:rsidP="006B1767">
            <w:r>
              <w:t>Proposal to amend the Section 20</w:t>
            </w:r>
            <w:r w:rsidRPr="0098001A">
              <w:t xml:space="preserve"> consultation process for major works to improve leaseholder engagement, transparency, and dispute resolution mechanisms.</w:t>
            </w:r>
          </w:p>
        </w:tc>
      </w:tr>
      <w:tr w:rsidR="006307B2" w:rsidRPr="0098001A" w14:paraId="048673F5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609E198F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lastRenderedPageBreak/>
              <w:t>3.3</w:t>
            </w:r>
          </w:p>
        </w:tc>
        <w:tc>
          <w:tcPr>
            <w:tcW w:w="0" w:type="auto"/>
            <w:vAlign w:val="center"/>
            <w:hideMark/>
          </w:tcPr>
          <w:p w14:paraId="2C477D75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Protecting leaseholders' money</w:t>
            </w:r>
          </w:p>
        </w:tc>
        <w:tc>
          <w:tcPr>
            <w:tcW w:w="0" w:type="auto"/>
            <w:vAlign w:val="center"/>
            <w:hideMark/>
          </w:tcPr>
          <w:p w14:paraId="4DA4CAAB" w14:textId="77777777" w:rsidR="006307B2" w:rsidRPr="0098001A" w:rsidRDefault="006307B2" w:rsidP="006B1767">
            <w:r w:rsidRPr="0098001A">
              <w:t>Q141-145</w:t>
            </w:r>
          </w:p>
        </w:tc>
        <w:tc>
          <w:tcPr>
            <w:tcW w:w="0" w:type="auto"/>
            <w:vAlign w:val="center"/>
            <w:hideMark/>
          </w:tcPr>
          <w:p w14:paraId="45FFE1CE" w14:textId="77777777" w:rsidR="006307B2" w:rsidRPr="0098001A" w:rsidRDefault="006307B2" w:rsidP="006B1767">
            <w:r>
              <w:t>Considering whether existing protections to</w:t>
            </w:r>
            <w:r w:rsidRPr="0098001A">
              <w:t xml:space="preserve"> safeguard leaseholders’ funds held by landlords/managing agents</w:t>
            </w:r>
            <w:r>
              <w:t xml:space="preserve"> are sufficient or if new protections are required</w:t>
            </w:r>
            <w:r w:rsidRPr="0098001A">
              <w:t>.</w:t>
            </w:r>
          </w:p>
        </w:tc>
      </w:tr>
      <w:tr w:rsidR="006307B2" w:rsidRPr="0098001A" w14:paraId="33AACF30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351B227F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14:paraId="6D07273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Protections for leaseholders paying fixed service charges</w:t>
            </w:r>
          </w:p>
        </w:tc>
        <w:tc>
          <w:tcPr>
            <w:tcW w:w="0" w:type="auto"/>
            <w:vAlign w:val="center"/>
            <w:hideMark/>
          </w:tcPr>
          <w:p w14:paraId="46787B51" w14:textId="77777777" w:rsidR="006307B2" w:rsidRPr="0098001A" w:rsidRDefault="006307B2" w:rsidP="006B1767">
            <w:r w:rsidRPr="0098001A">
              <w:t>Q146-148</w:t>
            </w:r>
          </w:p>
        </w:tc>
        <w:tc>
          <w:tcPr>
            <w:tcW w:w="0" w:type="auto"/>
            <w:vAlign w:val="center"/>
            <w:hideMark/>
          </w:tcPr>
          <w:p w14:paraId="171FA287" w14:textId="77777777" w:rsidR="006307B2" w:rsidRPr="0098001A" w:rsidRDefault="006307B2" w:rsidP="006B1767">
            <w:r w:rsidRPr="0098001A">
              <w:t>Clarifications and protections around fixed service charge arrangements to ensure leaseholders are not unfairly charged.</w:t>
            </w:r>
          </w:p>
        </w:tc>
      </w:tr>
      <w:tr w:rsidR="006307B2" w:rsidRPr="0098001A" w14:paraId="58AC86CE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3ADB3C7B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14:paraId="07ABFE93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Powers to appoint a manager or replace a managing agent</w:t>
            </w:r>
          </w:p>
        </w:tc>
        <w:tc>
          <w:tcPr>
            <w:tcW w:w="0" w:type="auto"/>
            <w:vAlign w:val="center"/>
            <w:hideMark/>
          </w:tcPr>
          <w:p w14:paraId="6C51F03E" w14:textId="77777777" w:rsidR="006307B2" w:rsidRPr="0098001A" w:rsidRDefault="006307B2" w:rsidP="006B1767">
            <w:r w:rsidRPr="0098001A">
              <w:t>Q149-154</w:t>
            </w:r>
          </w:p>
        </w:tc>
        <w:tc>
          <w:tcPr>
            <w:tcW w:w="0" w:type="auto"/>
            <w:vAlign w:val="center"/>
            <w:hideMark/>
          </w:tcPr>
          <w:p w14:paraId="1E7A661F" w14:textId="77777777" w:rsidR="006307B2" w:rsidRPr="0098001A" w:rsidRDefault="006307B2" w:rsidP="006B1767">
            <w:r>
              <w:t>Proposals to s</w:t>
            </w:r>
            <w:r w:rsidRPr="0098001A">
              <w:t>trengthen leaseholders’ rights to appoint a new manager or replace managing agents to improve service quality and accountability.</w:t>
            </w:r>
          </w:p>
        </w:tc>
      </w:tr>
      <w:tr w:rsidR="006307B2" w:rsidRPr="0098001A" w14:paraId="5B2103B2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6DBC7AFA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14:paraId="72C6C97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Providing information and services digitally</w:t>
            </w:r>
          </w:p>
        </w:tc>
        <w:tc>
          <w:tcPr>
            <w:tcW w:w="0" w:type="auto"/>
            <w:vAlign w:val="center"/>
            <w:hideMark/>
          </w:tcPr>
          <w:p w14:paraId="4F2BFC26" w14:textId="77777777" w:rsidR="006307B2" w:rsidRPr="0098001A" w:rsidRDefault="006307B2" w:rsidP="006B1767">
            <w:r w:rsidRPr="0098001A">
              <w:t>Q155-157</w:t>
            </w:r>
          </w:p>
        </w:tc>
        <w:tc>
          <w:tcPr>
            <w:tcW w:w="0" w:type="auto"/>
            <w:vAlign w:val="center"/>
            <w:hideMark/>
          </w:tcPr>
          <w:p w14:paraId="65752BDF" w14:textId="77777777" w:rsidR="006307B2" w:rsidRPr="0098001A" w:rsidRDefault="006307B2" w:rsidP="006B1767">
            <w:r>
              <w:t xml:space="preserve">Considering the opportunities for greater digitalisation of information provision </w:t>
            </w:r>
            <w:r w:rsidRPr="0098001A">
              <w:t>for easier and quicker access by leaseholders.</w:t>
            </w:r>
          </w:p>
        </w:tc>
      </w:tr>
      <w:tr w:rsidR="006307B2" w:rsidRPr="0098001A" w14:paraId="4C16F0EF" w14:textId="77777777" w:rsidTr="006B1767">
        <w:trPr>
          <w:jc w:val="center"/>
        </w:trPr>
        <w:tc>
          <w:tcPr>
            <w:tcW w:w="0" w:type="auto"/>
            <w:vAlign w:val="center"/>
            <w:hideMark/>
          </w:tcPr>
          <w:p w14:paraId="1C979CE8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14:paraId="7F6B3091" w14:textId="77777777" w:rsidR="006307B2" w:rsidRPr="0098001A" w:rsidRDefault="006307B2" w:rsidP="006B1767">
            <w:pPr>
              <w:rPr>
                <w:b/>
                <w:bCs/>
              </w:rPr>
            </w:pPr>
            <w:r w:rsidRPr="0098001A">
              <w:rPr>
                <w:b/>
                <w:bCs/>
              </w:rPr>
              <w:t>Mandatory qualifications for managing agents</w:t>
            </w:r>
          </w:p>
        </w:tc>
        <w:tc>
          <w:tcPr>
            <w:tcW w:w="0" w:type="auto"/>
            <w:vAlign w:val="center"/>
            <w:hideMark/>
          </w:tcPr>
          <w:p w14:paraId="4E332508" w14:textId="77777777" w:rsidR="006307B2" w:rsidRPr="0098001A" w:rsidRDefault="006307B2" w:rsidP="006B1767">
            <w:r w:rsidRPr="0098001A">
              <w:t>Q158-205</w:t>
            </w:r>
          </w:p>
        </w:tc>
        <w:tc>
          <w:tcPr>
            <w:tcW w:w="0" w:type="auto"/>
            <w:vAlign w:val="center"/>
            <w:hideMark/>
          </w:tcPr>
          <w:p w14:paraId="1B209593" w14:textId="77777777" w:rsidR="006307B2" w:rsidRPr="0098001A" w:rsidRDefault="006307B2" w:rsidP="006B1767">
            <w:r>
              <w:t>Proposals to introduce</w:t>
            </w:r>
            <w:r w:rsidRPr="0098001A">
              <w:t xml:space="preserve"> mandatory </w:t>
            </w:r>
            <w:r>
              <w:t xml:space="preserve">minimum </w:t>
            </w:r>
            <w:r w:rsidRPr="0098001A">
              <w:t xml:space="preserve">qualifications for managing agents </w:t>
            </w:r>
            <w:r>
              <w:t xml:space="preserve">and estate managers on freehold estates </w:t>
            </w:r>
            <w:r w:rsidRPr="0098001A">
              <w:t>to professionalise the sector and improve service delivery.</w:t>
            </w:r>
          </w:p>
        </w:tc>
      </w:tr>
    </w:tbl>
    <w:p w14:paraId="520561EB" w14:textId="77777777" w:rsidR="00B24BC8" w:rsidRDefault="00B24BC8"/>
    <w:sectPr w:rsidR="00B24BC8" w:rsidSect="00EF1D05">
      <w:headerReference w:type="default" r:id="rId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A063" w14:textId="77777777" w:rsidR="00E2250A" w:rsidRDefault="00E2250A" w:rsidP="006307B2">
      <w:pPr>
        <w:spacing w:after="0" w:line="240" w:lineRule="auto"/>
      </w:pPr>
      <w:r>
        <w:separator/>
      </w:r>
    </w:p>
  </w:endnote>
  <w:endnote w:type="continuationSeparator" w:id="0">
    <w:p w14:paraId="6952303C" w14:textId="77777777" w:rsidR="00E2250A" w:rsidRDefault="00E2250A" w:rsidP="006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7CA7" w14:textId="77777777" w:rsidR="00E2250A" w:rsidRDefault="00E2250A" w:rsidP="006307B2">
      <w:pPr>
        <w:spacing w:after="0" w:line="240" w:lineRule="auto"/>
      </w:pPr>
      <w:r>
        <w:separator/>
      </w:r>
    </w:p>
  </w:footnote>
  <w:footnote w:type="continuationSeparator" w:id="0">
    <w:p w14:paraId="13EBF953" w14:textId="77777777" w:rsidR="00E2250A" w:rsidRDefault="00E2250A" w:rsidP="006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6C0E" w14:textId="49337837" w:rsidR="006307B2" w:rsidRDefault="006307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0EF79" wp14:editId="741BC703">
          <wp:simplePos x="0" y="0"/>
          <wp:positionH relativeFrom="column">
            <wp:posOffset>-656692</wp:posOffset>
          </wp:positionH>
          <wp:positionV relativeFrom="paragraph">
            <wp:posOffset>-182880</wp:posOffset>
          </wp:positionV>
          <wp:extent cx="1438275" cy="539950"/>
          <wp:effectExtent l="0" t="0" r="0" b="0"/>
          <wp:wrapTight wrapText="bothSides">
            <wp:wrapPolygon edited="0">
              <wp:start x="0" y="0"/>
              <wp:lineTo x="0" y="20584"/>
              <wp:lineTo x="21171" y="20584"/>
              <wp:lineTo x="21171" y="0"/>
              <wp:lineTo x="0" y="0"/>
            </wp:wrapPolygon>
          </wp:wrapTight>
          <wp:docPr id="1859046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B2"/>
    <w:rsid w:val="00122405"/>
    <w:rsid w:val="005C5C99"/>
    <w:rsid w:val="006307B2"/>
    <w:rsid w:val="00B24BC8"/>
    <w:rsid w:val="00E2250A"/>
    <w:rsid w:val="00E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3CF4"/>
  <w15:chartTrackingRefBased/>
  <w15:docId w15:val="{47775816-A5C2-4425-B192-2319CBDA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7B2"/>
    <w:rPr>
      <w:rFonts w:ascii="Plus Jakarta Sans" w:hAnsi="Plus Jakarta San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7B2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7B2"/>
    <w:pPr>
      <w:ind w:left="720"/>
      <w:contextualSpacing/>
    </w:pPr>
    <w:rPr>
      <w:rFonts w:asciiTheme="minorHAnsi" w:hAnsi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3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07B2"/>
    <w:pPr>
      <w:spacing w:after="0" w:line="240" w:lineRule="auto"/>
    </w:pPr>
    <w:rPr>
      <w:rFonts w:ascii="Plus Jakarta Sans" w:hAnsi="Plus Jakarta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B2"/>
    <w:rPr>
      <w:rFonts w:ascii="Plus Jakarta Sans" w:hAnsi="Plus Jakarta 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B2"/>
    <w:rPr>
      <w:rFonts w:ascii="Plus Jakarta Sans" w:hAnsi="Plus Jakart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Kjelstrup-Johnson</dc:creator>
  <cp:keywords/>
  <dc:description/>
  <cp:lastModifiedBy>Cara Kjelstrup-Johnson</cp:lastModifiedBy>
  <cp:revision>2</cp:revision>
  <dcterms:created xsi:type="dcterms:W3CDTF">2025-07-25T11:33:00Z</dcterms:created>
  <dcterms:modified xsi:type="dcterms:W3CDTF">2025-07-25T11:35:00Z</dcterms:modified>
</cp:coreProperties>
</file>